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PR 535: FINAL - Rare Hair by Rare Beauty Opinion Piece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Beauty Industry Has a Blind Spot. Rare Hair Fills It.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commentRangeStart w:id="0"/>
      <w:r w:rsidDel="00000000" w:rsidR="00000000" w:rsidRPr="00000000">
        <w:rPr>
          <w:rtl w:val="0"/>
        </w:rPr>
        <w:t xml:space="preserve">When a beauty brand like Rare Beauty proposes a hair care line with packaging deliberately designed for blind, low-vision, and mobility challenged users, it does more than introduce a new product, it sends a message. It says that beauty, self-care, and everyday routines should not be privileges reserved for only some, but rather design choices must reflect the lived experiences of an inclusive population. Rare Hair in this sense becomes not just a commercial product, but a moral and cultural statement.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reality is stark: globally, more than 1 billion people (about 15-20% of the population) live with some form of disability.</w:t>
      </w:r>
      <w:r w:rsidDel="00000000" w:rsidR="00000000" w:rsidRPr="00000000">
        <w:rPr>
          <w:vertAlign w:val="superscript"/>
        </w:rPr>
        <w:footnoteReference w:customMarkFollows="0" w:id="0"/>
      </w:r>
      <w:r w:rsidDel="00000000" w:rsidR="00000000" w:rsidRPr="00000000">
        <w:rPr>
          <w:rtl w:val="0"/>
        </w:rPr>
        <w:t xml:space="preserve"> In the United States alone, this demographic, along with their friends and families, wields substantial spending power. Yet, too often, mainstream consumer products ignore the needs of those who don’t interact with the world in the “average” way. For people with vision loss or limited dexterity, simple tasks like distinguishing a shampoo from a conditioner or opening a bottle can become frustrating barriers.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Academic research confirms that inclusive packaging isn’t just a nicety, it can dramatically affect whether a visually impaired person can use beauty products independently. In a study on cosmetic packaging and visually impaired persons, participants reported that accessible packaging made a real difference in their ability to select, use, and dispose of products without assistance</w:t>
      </w:r>
      <w:r w:rsidDel="00000000" w:rsidR="00000000" w:rsidRPr="00000000">
        <w:rPr>
          <w:vertAlign w:val="superscript"/>
        </w:rPr>
        <w:footnoteReference w:customMarkFollows="0" w:id="1"/>
      </w:r>
      <w:r w:rsidDel="00000000" w:rsidR="00000000" w:rsidRPr="00000000">
        <w:rPr>
          <w:rtl w:val="0"/>
        </w:rPr>
        <w:t xml:space="preserve">. Inclusive design can reduce the stigma many visually impaired people face when they’re forced to say, “I need help” to do something private, like apply shampoo or conditioner.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Rare Hair’s proposed use of tactile ridges, ergonomic pumps, and intuitive differentiation (for shampoo vs. conditioner vs. styling product) resonates with this research. It aligns with the call for “accessible and inclusive product design” that benefits millions of consumers, including elderly people, people with temporary impairments, and those with chronic conditions that impact mobility or vision.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There’s also a compelling business case. Inclusive design doesn’t just fulfill an ethical obligation or serve a niche market, it opens up a vast and underserved consumer base. Brands that commit to accessibility have the opportunity to boost their market reach, build loyalty amongst consumers who often feel ignored by mainstream products, and enhance their brand reputation for social responsibility.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Moreover, inclusive design often benefits all users, not just those with permanent disabilities. This is the essence of what scholars call the Curb-cut Effect: design accommodations created for people with disabilities often end up helping many others. A tactile-packaged shampoo bottle with an ergonomic pump doesn’t only help someone with visual needs; it helps anyone who wants a quick, spill-free, and easy hair care routine.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Beyond dollars and markets, inclusive packaging carries symbolic weight: it says the brand sees people who are too often overlooked. It centers the experiences of those who struggle with mundane tasks many take for granted. For the visually impaired, for the mobility-challenged, having a mainstream hair care brand design with them in mind isn’t charity; it’s recognition and dignity. In a world where beauty standards have too often equated “normal” with “able-bodied,” where accessible design is an afterthought, Rare Hair would stand as an important counter-narrative. It would signal that inclusivity isn’t just about superficial representation but about real, tactile, everyday usability. It would challenge other beauty brands to ask: who are we designing for, only idealized bodies, or all bodies?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Of course, realizing this vision requires more than good intentions. It demands genuine consultation with disabled users, testing and iteration, and a willingness to invest in design features that may cost more upfront. But the payoff, economically, socially and morally speaking, is worth it. As the global conversation around inclusion continues to gain urgency, brands that embed accessibility into their product DNA will not just thrive – they’ll lead. Rare Hair embodies that imperative. More than just a hair care line, Rare Hair is a leader in a broader push toward a more equitable, usable, and respectful beauty industry. And in that push, everyone stands to gain. </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Evan Pondel" w:id="0" w:date="2025-12-15T17:41:00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Your opinion piece reads well, but I'd like to hear stories about real people who need these products. A few anecdotes would pack a powerful punch!</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4">
      <w:pPr>
        <w:spacing w:line="240" w:lineRule="auto"/>
        <w:rPr>
          <w:i w:val="1"/>
          <w:iCs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World Economic Forum. (2023, December 5).</w:t>
      </w:r>
      <w:r w:rsidDel="00000000" w:rsidR="00000000" w:rsidRPr="00000000">
        <w:rPr>
          <w:sz w:val="20"/>
          <w:szCs w:val="20"/>
          <w:rtl w:val="0"/>
        </w:rPr>
        <w:t xml:space="preserve"> </w:t>
      </w:r>
      <w:r w:rsidDel="00000000" w:rsidR="00000000" w:rsidRPr="00000000">
        <w:rPr>
          <w:i w:val="1"/>
          <w:iCs w:val="1"/>
          <w:sz w:val="20"/>
          <w:szCs w:val="20"/>
          <w:rtl w:val="0"/>
        </w:rPr>
        <w:t xml:space="preserve">Driving disability inclusion is more than a moral imperative — it’s a business one.</w:t>
      </w:r>
    </w:p>
    <w:p w:rsidR="00000000" w:rsidDel="00000000" w:rsidP="00000000" w:rsidRDefault="00000000" w:rsidRPr="00000000" w14:paraId="00000015">
      <w:pPr>
        <w:spacing w:line="240" w:lineRule="auto"/>
        <w:rPr>
          <w:sz w:val="20"/>
          <w:szCs w:val="20"/>
        </w:rPr>
      </w:pPr>
      <w:hyperlink r:id="rId1">
        <w:r w:rsidDel="00000000" w:rsidR="00000000" w:rsidRPr="00000000">
          <w:rPr>
            <w:color w:val="1155cc"/>
            <w:sz w:val="20"/>
            <w:szCs w:val="20"/>
            <w:u w:val="single"/>
            <w:rtl w:val="0"/>
          </w:rPr>
          <w:t xml:space="preserve">https://www.weforum.org/stories/2023/12/driving-disability-inclusion-is-more-than-a-moral-imperative-it-s-a-business-one/</w:t>
        </w:r>
      </w:hyperlink>
      <w:r w:rsidDel="00000000" w:rsidR="00000000" w:rsidRPr="00000000">
        <w:rPr>
          <w:rtl w:val="0"/>
        </w:rPr>
      </w:r>
    </w:p>
    <w:p w:rsidR="00000000" w:rsidDel="00000000" w:rsidP="00000000" w:rsidRDefault="00000000" w:rsidRPr="00000000" w14:paraId="00000016">
      <w:pPr>
        <w:spacing w:line="240" w:lineRule="auto"/>
        <w:rPr>
          <w:sz w:val="20"/>
          <w:szCs w:val="20"/>
        </w:rPr>
      </w:pPr>
      <w:r w:rsidDel="00000000" w:rsidR="00000000" w:rsidRPr="00000000">
        <w:rPr>
          <w:rtl w:val="0"/>
        </w:rPr>
      </w:r>
    </w:p>
  </w:footnote>
  <w:footnote w:id="1">
    <w:p w:rsidR="00000000" w:rsidDel="00000000" w:rsidP="00000000" w:rsidRDefault="00000000" w:rsidRPr="00000000" w14:paraId="00000017">
      <w:pPr>
        <w:spacing w:line="240" w:lineRule="auto"/>
        <w:rPr>
          <w:color w:val="1155cc"/>
          <w:sz w:val="20"/>
          <w:szCs w:val="20"/>
          <w:u w:val="single"/>
        </w:rPr>
      </w:pPr>
      <w:r w:rsidDel="00000000" w:rsidR="00000000" w:rsidRPr="00000000">
        <w:rPr>
          <w:rStyle w:val="FootnoteReference"/>
          <w:vertAlign w:val="superscript"/>
        </w:rPr>
        <w:footnoteRef/>
      </w:r>
      <w:r w:rsidDel="00000000" w:rsidR="00000000" w:rsidRPr="00000000">
        <w:rPr>
          <w:sz w:val="20"/>
          <w:szCs w:val="20"/>
          <w:rtl w:val="0"/>
        </w:rPr>
        <w:t xml:space="preserve"> Gulati, S. (2022). </w:t>
      </w:r>
      <w:r w:rsidDel="00000000" w:rsidR="00000000" w:rsidRPr="00000000">
        <w:rPr>
          <w:i w:val="1"/>
          <w:iCs w:val="1"/>
          <w:sz w:val="20"/>
          <w:szCs w:val="20"/>
          <w:rtl w:val="0"/>
        </w:rPr>
        <w:t xml:space="preserve">Designing for the senses: Tactile markers and multisensory packaging for blind and low-vision users</w:t>
      </w:r>
      <w:r w:rsidDel="00000000" w:rsidR="00000000" w:rsidRPr="00000000">
        <w:rPr>
          <w:sz w:val="20"/>
          <w:szCs w:val="20"/>
          <w:rtl w:val="0"/>
        </w:rPr>
        <w:t xml:space="preserve"> (Master’s research project). OCAD University.</w:t>
        <w:br w:type="textWrapping"/>
      </w:r>
      <w:hyperlink r:id="rId2">
        <w:r w:rsidDel="00000000" w:rsidR="00000000" w:rsidRPr="00000000">
          <w:rPr>
            <w:sz w:val="20"/>
            <w:szCs w:val="20"/>
            <w:rtl w:val="0"/>
          </w:rPr>
          <w:t xml:space="preserve"> </w:t>
        </w:r>
      </w:hyperlink>
      <w:hyperlink r:id="rId3">
        <w:r w:rsidDel="00000000" w:rsidR="00000000" w:rsidRPr="00000000">
          <w:rPr>
            <w:color w:val="1155cc"/>
            <w:sz w:val="20"/>
            <w:szCs w:val="20"/>
            <w:u w:val="single"/>
            <w:rtl w:val="0"/>
          </w:rPr>
          <w:t xml:space="preserve">https://openresearch.ocadu.ca/id/eprint/3698/1/Gulati_Shivani_2022_MDES_INCD_MRP.pdf</w:t>
        </w:r>
      </w:hyperlink>
      <w:r w:rsidDel="00000000" w:rsidR="00000000" w:rsidRPr="00000000">
        <w:rPr>
          <w:rtl w:val="0"/>
        </w:rPr>
      </w:r>
    </w:p>
    <w:p w:rsidR="00000000" w:rsidDel="00000000" w:rsidP="00000000" w:rsidRDefault="00000000" w:rsidRPr="00000000" w14:paraId="00000018">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weforum.org/stories/2023/12/driving-disability-inclusion-is-more-than-a-moral-imperative-it-s-a-business-one/?utm_source=chatgpt.com" TargetMode="External"/><Relationship Id="rId2" Type="http://schemas.openxmlformats.org/officeDocument/2006/relationships/hyperlink" Target="https://openresearch.ocadu.ca/id/eprint/3698/1/Gulati_Shivani_2022_MDES_INCD_MRP.pdf?utm_source=chatgpt.com" TargetMode="External"/><Relationship Id="rId3" Type="http://schemas.openxmlformats.org/officeDocument/2006/relationships/hyperlink" Target="https://openresearch.ocadu.ca/id/eprint/3698/1/Gulati_Shivani_2022_MDES_INCD_MRP.pdf?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